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60" w:rsidRDefault="00EA7A60" w:rsidP="00EA7A60">
      <w:pPr>
        <w:outlineLvl w:val="0"/>
      </w:pPr>
      <w:r>
        <w:t>De : &lt;</w:t>
      </w:r>
      <w:hyperlink r:id="rId4" w:history="1">
        <w:r>
          <w:rPr>
            <w:rStyle w:val="Lienhypertexte"/>
          </w:rPr>
          <w:t>info.accredit@riziv-inami.fgov.be</w:t>
        </w:r>
      </w:hyperlink>
      <w:r>
        <w:t>&gt;</w:t>
      </w:r>
      <w:r w:rsidR="007F59F7">
        <w:br/>
        <w:t xml:space="preserve">Date: jeu. 16 déc. 2021 </w:t>
      </w:r>
      <w:r>
        <w:br/>
      </w:r>
      <w:proofErr w:type="spellStart"/>
      <w:r>
        <w:t>Subject</w:t>
      </w:r>
      <w:proofErr w:type="spellEnd"/>
      <w:r>
        <w:t>: COVID-19 et votre accréditation</w:t>
      </w:r>
      <w:r>
        <w:br/>
      </w:r>
    </w:p>
    <w:p w:rsidR="00EA7A60" w:rsidRDefault="00EA7A60" w:rsidP="00EA7A60">
      <w:pPr>
        <w:spacing w:after="240"/>
      </w:pPr>
    </w:p>
    <w:p w:rsidR="00EA7A60" w:rsidRDefault="00EA7A60" w:rsidP="00EA7A60">
      <w:pPr>
        <w:pStyle w:val="NormalWeb"/>
        <w:spacing w:before="0" w:beforeAutospacing="0" w:after="0" w:afterAutospacing="0"/>
        <w:jc w:val="both"/>
        <w:rPr>
          <w:sz w:val="20"/>
          <w:szCs w:val="20"/>
        </w:rPr>
      </w:pPr>
      <w:r>
        <w:rPr>
          <w:rFonts w:ascii="Arial" w:hAnsi="Arial" w:cs="Arial"/>
          <w:b/>
          <w:bCs/>
          <w:sz w:val="20"/>
          <w:szCs w:val="20"/>
        </w:rPr>
        <w:t> </w:t>
      </w:r>
    </w:p>
    <w:p w:rsidR="00EA7A60" w:rsidRDefault="00EA7A60" w:rsidP="00EA7A60">
      <w:pPr>
        <w:pStyle w:val="NormalWeb"/>
        <w:spacing w:before="0" w:beforeAutospacing="0" w:after="0" w:afterAutospacing="0"/>
        <w:rPr>
          <w:sz w:val="10"/>
          <w:szCs w:val="10"/>
        </w:rPr>
      </w:pPr>
      <w:r>
        <w:rPr>
          <w:b/>
          <w:bCs/>
          <w:sz w:val="10"/>
          <w:szCs w:val="10"/>
        </w:rPr>
        <w:t> </w:t>
      </w:r>
    </w:p>
    <w:p w:rsidR="00EA7A60" w:rsidRDefault="00EA7A60" w:rsidP="00EA7A60">
      <w:pPr>
        <w:pStyle w:val="NormalWeb"/>
        <w:spacing w:before="0" w:beforeAutospacing="0" w:after="0" w:afterAutospacing="0"/>
        <w:rPr>
          <w:sz w:val="20"/>
          <w:szCs w:val="20"/>
        </w:rPr>
      </w:pPr>
      <w:r>
        <w:rPr>
          <w:b/>
          <w:bCs/>
          <w:sz w:val="20"/>
          <w:szCs w:val="20"/>
        </w:rPr>
        <w:t> </w:t>
      </w:r>
    </w:p>
    <w:p w:rsidR="00EA7A60" w:rsidRDefault="00EA7A60" w:rsidP="00EA7A60">
      <w:pPr>
        <w:pStyle w:val="NormalWeb"/>
        <w:spacing w:before="0" w:beforeAutospacing="0" w:after="0" w:afterAutospacing="0"/>
        <w:rPr>
          <w:sz w:val="20"/>
          <w:szCs w:val="20"/>
        </w:rPr>
      </w:pPr>
      <w:r>
        <w:rPr>
          <w:b/>
          <w:bCs/>
          <w:sz w:val="20"/>
          <w:szCs w:val="20"/>
        </w:rPr>
        <w:t> </w:t>
      </w:r>
    </w:p>
    <w:p w:rsidR="00EA7A60" w:rsidRDefault="00EA7A60" w:rsidP="00EA7A60">
      <w:pPr>
        <w:pStyle w:val="NormalWeb"/>
        <w:spacing w:before="0" w:beforeAutospacing="0" w:after="0" w:afterAutospacing="0"/>
        <w:rPr>
          <w:sz w:val="20"/>
          <w:szCs w:val="20"/>
        </w:rPr>
      </w:pPr>
      <w:r>
        <w:rPr>
          <w:b/>
          <w:bCs/>
          <w:sz w:val="20"/>
          <w:szCs w:val="20"/>
        </w:rPr>
        <w:t> </w:t>
      </w:r>
    </w:p>
    <w:p w:rsidR="00EA7A60" w:rsidRDefault="00EA7A60" w:rsidP="00EA7A60">
      <w:pPr>
        <w:pStyle w:val="NormalWeb"/>
        <w:spacing w:before="0" w:beforeAutospacing="0" w:after="0" w:afterAutospacing="0"/>
        <w:jc w:val="right"/>
        <w:rPr>
          <w:sz w:val="20"/>
          <w:szCs w:val="20"/>
        </w:rPr>
      </w:pPr>
      <w:r>
        <w:rPr>
          <w:rFonts w:ascii="Arial" w:hAnsi="Arial" w:cs="Arial"/>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b/>
          <w:bCs/>
          <w:sz w:val="20"/>
          <w:szCs w:val="20"/>
        </w:rPr>
        <w:t>COVID-19 et votre accréditation</w:t>
      </w:r>
    </w:p>
    <w:p w:rsidR="00EA7A60" w:rsidRDefault="00EA7A60" w:rsidP="00EA7A60">
      <w:pPr>
        <w:pStyle w:val="NormalWeb"/>
        <w:spacing w:before="0" w:beforeAutospacing="0" w:after="0" w:afterAutospacing="0"/>
        <w:jc w:val="both"/>
        <w:rPr>
          <w:sz w:val="20"/>
          <w:szCs w:val="20"/>
        </w:rPr>
      </w:pPr>
      <w:r>
        <w:rPr>
          <w:rFonts w:ascii="Calibri" w:hAnsi="Calibri" w:cs="Calibri"/>
          <w:b/>
          <w:bCs/>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xml:space="preserve">Docteur </w:t>
      </w:r>
      <w:r w:rsidR="007F59F7">
        <w:rPr>
          <w:rFonts w:ascii="Calibri" w:hAnsi="Calibri" w:cs="Calibri"/>
          <w:sz w:val="20"/>
          <w:szCs w:val="20"/>
        </w:rPr>
        <w:t>XXX</w:t>
      </w:r>
      <w:bookmarkStart w:id="0" w:name="_GoBack"/>
      <w:bookmarkEnd w:id="0"/>
      <w:r>
        <w:rPr>
          <w:rFonts w:ascii="Calibri" w:hAnsi="Calibri" w:cs="Calibri"/>
          <w:sz w:val="20"/>
          <w:szCs w:val="20"/>
        </w:rPr>
        <w:t>,</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Dans le cadre de la pandémie COVID, le Groupe de direction de l’Accréditation a pris plusieurs mesures depuis le début afin d’aider les médecins à satisfaire aux exigences de leur accréditation.</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xml:space="preserve">Le Groupe de direction de l’Accréditation souligne que si ces mesures étaient de nature temporaire, il ne néglige cependant pas l’immense pression exercée sur les médecins durant ces deux dernières années. Pour ces raisons, un certain nombre de médecins n’ont probablement pas été en mesure de satisfaire à toutes les conditions légales pour prétendre à la prolongation de leur accréditation.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xml:space="preserve">Etant donné l’évolution récente de la COVID et le fait que les médecins se forment à nouveau à court terme en dehors des activités accréditées classiques, il a été décidé d’attribuer à nouveau automatiquement 5 CP dans le dossier électronique des médecins accrédités pour le mois de décembre 2021, à savoir </w:t>
      </w:r>
      <w:r>
        <w:rPr>
          <w:rFonts w:ascii="Calibri" w:hAnsi="Calibri" w:cs="Calibri"/>
          <w:b/>
          <w:bCs/>
          <w:sz w:val="20"/>
          <w:szCs w:val="20"/>
        </w:rPr>
        <w:t>1 participation au GLEM de 2 CP et 3 CP en rubrique « éthique et économie »</w:t>
      </w:r>
      <w:r>
        <w:rPr>
          <w:rFonts w:ascii="Calibri" w:hAnsi="Calibri" w:cs="Calibri"/>
          <w:sz w:val="20"/>
          <w:szCs w:val="20"/>
        </w:rPr>
        <w:t xml:space="preserve"> (sous la référence « COVID-19 (GDA-AS 12/2021) »).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xml:space="preserve">Pour les médecins pour qui ces mesures générales ne suffiraient pas, il est rappelé qu’ils peuvent toujours faire référence, dans leur demande (de renouvellement) d’accréditation, aux circonstances particulières qui les auraient éventuellement </w:t>
      </w:r>
      <w:proofErr w:type="gramStart"/>
      <w:r>
        <w:rPr>
          <w:rFonts w:ascii="Calibri" w:hAnsi="Calibri" w:cs="Calibri"/>
          <w:sz w:val="20"/>
          <w:szCs w:val="20"/>
        </w:rPr>
        <w:t>empêché</w:t>
      </w:r>
      <w:proofErr w:type="gramEnd"/>
      <w:r>
        <w:rPr>
          <w:rFonts w:ascii="Calibri" w:hAnsi="Calibri" w:cs="Calibri"/>
          <w:sz w:val="20"/>
          <w:szCs w:val="20"/>
        </w:rPr>
        <w:t xml:space="preserve"> de satisfaire pleinement aux conditions d’accréditation (activités spéciales dues à la COVID, maladie, etc.)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xml:space="preserve">Tous ces dossiers sont évalués individuellement par le Groupe de direction de l’Accréditation et par le passé, ce dernier a toujours fait preuve d’une grande bienveillance à l’égard des médecins n’ayant pas été en mesure de répondre totalement aux exigences en raison de circonstances particulières. Le Groupe de direction de l’Accréditation a réaffirmé une nouvelle fois cette bienveillance lors de sa dernière séance plénière et appelle tous les médecins concernés à toujours introduire leur demande accompagnée d’une motivation et de toutes les preuves pertinentes.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Pour le Groupe de Direction de l’Accréditation</w:t>
      </w:r>
    </w:p>
    <w:p w:rsidR="00EA7A60" w:rsidRDefault="00EA7A60" w:rsidP="00EA7A60">
      <w:pPr>
        <w:pStyle w:val="NormalWeb"/>
        <w:spacing w:before="0" w:beforeAutospacing="0" w:after="0" w:afterAutospacing="0"/>
        <w:rPr>
          <w:sz w:val="20"/>
          <w:szCs w:val="20"/>
        </w:rPr>
      </w:pPr>
      <w:r>
        <w:rPr>
          <w:rFonts w:ascii="Calibri" w:hAnsi="Calibri" w:cs="Calibri"/>
          <w:sz w:val="20"/>
          <w:szCs w:val="20"/>
        </w:rPr>
        <w:t> </w:t>
      </w:r>
    </w:p>
    <w:p w:rsidR="00EA7A60" w:rsidRDefault="00EA7A60" w:rsidP="00EA7A60">
      <w:pPr>
        <w:pStyle w:val="NormalWeb"/>
        <w:spacing w:before="0" w:beforeAutospacing="0" w:after="0" w:afterAutospacing="0"/>
        <w:jc w:val="both"/>
        <w:rPr>
          <w:sz w:val="20"/>
          <w:szCs w:val="20"/>
        </w:rPr>
      </w:pPr>
      <w:r>
        <w:rPr>
          <w:noProof/>
          <w:sz w:val="20"/>
          <w:szCs w:val="20"/>
        </w:rPr>
        <w:drawing>
          <wp:inline distT="0" distB="0" distL="0" distR="0">
            <wp:extent cx="1394460" cy="822960"/>
            <wp:effectExtent l="0" t="0" r="0" b="0"/>
            <wp:docPr id="1" name="Image 1" descr="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_mi"/>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94460" cy="822960"/>
                    </a:xfrm>
                    <a:prstGeom prst="rect">
                      <a:avLst/>
                    </a:prstGeom>
                    <a:noFill/>
                    <a:ln>
                      <a:noFill/>
                    </a:ln>
                  </pic:spPr>
                </pic:pic>
              </a:graphicData>
            </a:graphic>
          </wp:inline>
        </w:drawing>
      </w:r>
    </w:p>
    <w:p w:rsidR="00EA7A60" w:rsidRDefault="00EA7A60" w:rsidP="00EA7A60">
      <w:pPr>
        <w:pStyle w:val="NormalWeb"/>
        <w:spacing w:before="0" w:beforeAutospacing="0" w:after="0" w:afterAutospacing="0"/>
        <w:jc w:val="both"/>
        <w:rPr>
          <w:sz w:val="20"/>
          <w:szCs w:val="20"/>
        </w:rPr>
      </w:pPr>
      <w:r>
        <w:rPr>
          <w:rFonts w:ascii="Calibri" w:hAnsi="Calibri" w:cs="Calibri"/>
          <w:b/>
          <w:bCs/>
          <w:sz w:val="20"/>
          <w:szCs w:val="20"/>
        </w:rPr>
        <w:t> </w:t>
      </w:r>
    </w:p>
    <w:p w:rsidR="00EA7A60" w:rsidRDefault="00EA7A60" w:rsidP="00EA7A60">
      <w:pPr>
        <w:pStyle w:val="NormalWeb"/>
        <w:spacing w:before="0" w:beforeAutospacing="0" w:after="0" w:afterAutospacing="0"/>
        <w:jc w:val="both"/>
        <w:rPr>
          <w:sz w:val="20"/>
          <w:szCs w:val="20"/>
        </w:rPr>
      </w:pPr>
      <w:r>
        <w:rPr>
          <w:sz w:val="20"/>
          <w:szCs w:val="20"/>
        </w:rPr>
        <w:t>     </w:t>
      </w:r>
    </w:p>
    <w:tbl>
      <w:tblPr>
        <w:tblW w:w="0" w:type="auto"/>
        <w:tblCellMar>
          <w:left w:w="0" w:type="dxa"/>
          <w:right w:w="0" w:type="dxa"/>
        </w:tblCellMar>
        <w:tblLook w:val="04A0" w:firstRow="1" w:lastRow="0" w:firstColumn="1" w:lastColumn="0" w:noHBand="0" w:noVBand="1"/>
      </w:tblPr>
      <w:tblGrid>
        <w:gridCol w:w="4292"/>
        <w:gridCol w:w="4292"/>
      </w:tblGrid>
      <w:tr w:rsidR="00EA7A60" w:rsidTr="00EA7A60">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Bart DEHAES</w:t>
            </w:r>
            <w:r>
              <w:rPr>
                <w:sz w:val="22"/>
                <w:szCs w:val="22"/>
              </w:rPr>
              <w:t> </w:t>
            </w:r>
          </w:p>
        </w:tc>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 xml:space="preserve">Bart J. DE VOS </w:t>
            </w:r>
          </w:p>
          <w:p w:rsidR="00EA7A60" w:rsidRDefault="00EA7A60">
            <w:pPr>
              <w:pStyle w:val="NormalWeb"/>
              <w:spacing w:before="0" w:beforeAutospacing="0" w:after="0" w:afterAutospacing="0"/>
              <w:jc w:val="both"/>
              <w:rPr>
                <w:sz w:val="22"/>
                <w:szCs w:val="22"/>
              </w:rPr>
            </w:pPr>
            <w:r>
              <w:rPr>
                <w:rFonts w:ascii="Calibri" w:hAnsi="Calibri" w:cs="Calibri"/>
                <w:sz w:val="22"/>
                <w:szCs w:val="22"/>
              </w:rPr>
              <w:t> </w:t>
            </w:r>
          </w:p>
        </w:tc>
      </w:tr>
      <w:tr w:rsidR="00EA7A60" w:rsidTr="00EA7A60">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Geneviève BRUWIER</w:t>
            </w:r>
          </w:p>
          <w:p w:rsidR="00EA7A60" w:rsidRDefault="00EA7A60">
            <w:pPr>
              <w:pStyle w:val="NormalWeb"/>
              <w:spacing w:before="0" w:beforeAutospacing="0" w:after="0" w:afterAutospacing="0"/>
              <w:jc w:val="both"/>
              <w:rPr>
                <w:sz w:val="22"/>
                <w:szCs w:val="22"/>
              </w:rPr>
            </w:pPr>
            <w:r>
              <w:rPr>
                <w:rFonts w:ascii="Calibri" w:hAnsi="Calibri" w:cs="Calibri"/>
                <w:sz w:val="22"/>
                <w:szCs w:val="22"/>
              </w:rPr>
              <w:t> </w:t>
            </w:r>
          </w:p>
        </w:tc>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 </w:t>
            </w:r>
          </w:p>
        </w:tc>
      </w:tr>
      <w:tr w:rsidR="00EA7A60" w:rsidTr="00EA7A60">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Les Présidents</w:t>
            </w:r>
            <w:r>
              <w:rPr>
                <w:sz w:val="22"/>
                <w:szCs w:val="22"/>
              </w:rPr>
              <w:t> </w:t>
            </w:r>
          </w:p>
        </w:tc>
        <w:tc>
          <w:tcPr>
            <w:tcW w:w="4292" w:type="dxa"/>
            <w:tcMar>
              <w:top w:w="0" w:type="dxa"/>
              <w:left w:w="108" w:type="dxa"/>
              <w:bottom w:w="0" w:type="dxa"/>
              <w:right w:w="108" w:type="dxa"/>
            </w:tcMar>
            <w:hideMark/>
          </w:tcPr>
          <w:p w:rsidR="00EA7A60" w:rsidRDefault="00EA7A60">
            <w:pPr>
              <w:pStyle w:val="NormalWeb"/>
              <w:spacing w:before="0" w:beforeAutospacing="0" w:after="0" w:afterAutospacing="0"/>
              <w:jc w:val="both"/>
              <w:rPr>
                <w:sz w:val="22"/>
                <w:szCs w:val="22"/>
              </w:rPr>
            </w:pPr>
            <w:r>
              <w:rPr>
                <w:rFonts w:ascii="Calibri" w:hAnsi="Calibri" w:cs="Calibri"/>
                <w:sz w:val="22"/>
                <w:szCs w:val="22"/>
              </w:rPr>
              <w:t xml:space="preserve">Le Secrétaire </w:t>
            </w:r>
          </w:p>
          <w:p w:rsidR="00EA7A60" w:rsidRDefault="00EA7A60">
            <w:pPr>
              <w:pStyle w:val="NormalWeb"/>
              <w:spacing w:before="0" w:beforeAutospacing="0" w:after="0" w:afterAutospacing="0"/>
              <w:jc w:val="both"/>
              <w:rPr>
                <w:sz w:val="22"/>
                <w:szCs w:val="22"/>
              </w:rPr>
            </w:pPr>
            <w:r>
              <w:rPr>
                <w:rFonts w:ascii="Calibri" w:hAnsi="Calibri" w:cs="Calibri"/>
                <w:sz w:val="22"/>
                <w:szCs w:val="22"/>
              </w:rPr>
              <w:t> </w:t>
            </w:r>
          </w:p>
        </w:tc>
      </w:tr>
    </w:tbl>
    <w:p w:rsidR="00EA7A60" w:rsidRDefault="00EA7A60" w:rsidP="00EA7A60">
      <w:pPr>
        <w:pStyle w:val="NormalWeb"/>
        <w:spacing w:before="0" w:beforeAutospacing="0" w:after="0" w:afterAutospacing="0"/>
        <w:jc w:val="both"/>
        <w:rPr>
          <w:sz w:val="20"/>
          <w:szCs w:val="20"/>
        </w:rPr>
      </w:pPr>
      <w:r>
        <w:rPr>
          <w:rFonts w:ascii="Calibri" w:hAnsi="Calibri" w:cs="Calibri"/>
          <w:sz w:val="20"/>
          <w:szCs w:val="20"/>
        </w:rPr>
        <w:t> </w:t>
      </w:r>
    </w:p>
    <w:p w:rsidR="008F5ACF" w:rsidRDefault="008F5ACF"/>
    <w:sectPr w:rsidR="008F5ACF" w:rsidSect="00E413C9">
      <w:pgSz w:w="11906" w:h="16838"/>
      <w:pgMar w:top="1134" w:right="1134" w:bottom="102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60"/>
    <w:rsid w:val="00536EB2"/>
    <w:rsid w:val="007C26CB"/>
    <w:rsid w:val="007F59F7"/>
    <w:rsid w:val="008F5ACF"/>
    <w:rsid w:val="00E413C9"/>
    <w:rsid w:val="00EA7A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69AC"/>
  <w15:chartTrackingRefBased/>
  <w15:docId w15:val="{9649BE0A-776E-46D0-A175-6B9E60BF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A60"/>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A7A60"/>
    <w:rPr>
      <w:color w:val="0000FF"/>
      <w:u w:val="single"/>
    </w:rPr>
  </w:style>
  <w:style w:type="paragraph" w:styleId="NormalWeb">
    <w:name w:val="Normal (Web)"/>
    <w:basedOn w:val="Normal"/>
    <w:uiPriority w:val="99"/>
    <w:semiHidden/>
    <w:unhideWhenUsed/>
    <w:rsid w:val="00EA7A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7ddc6a65ee37e803591" TargetMode="External"/><Relationship Id="rId5" Type="http://schemas.openxmlformats.org/officeDocument/2006/relationships/image" Target="media/image1.png"/><Relationship Id="rId4" Type="http://schemas.openxmlformats.org/officeDocument/2006/relationships/hyperlink" Target="mailto:info.accredit@riziv-inami.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Jean-Noel Godin</dc:creator>
  <cp:keywords/>
  <dc:description/>
  <cp:lastModifiedBy>Audrey</cp:lastModifiedBy>
  <cp:revision>3</cp:revision>
  <dcterms:created xsi:type="dcterms:W3CDTF">2021-12-22T14:32:00Z</dcterms:created>
  <dcterms:modified xsi:type="dcterms:W3CDTF">2021-12-22T14:33:00Z</dcterms:modified>
</cp:coreProperties>
</file>