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76" w:rsidRDefault="00FA5D76" w:rsidP="00FA5D76">
      <w:pPr>
        <w:pStyle w:val="Titre1"/>
        <w:spacing w:after="0"/>
        <w:rPr>
          <w:rFonts w:eastAsia="Times New Roman"/>
        </w:rPr>
      </w:pPr>
      <w:r>
        <w:rPr>
          <w:rStyle w:val="lev"/>
          <w:rFonts w:eastAsia="Times New Roman"/>
          <w:sz w:val="48"/>
          <w:szCs w:val="48"/>
        </w:rPr>
        <w:t>Trajets de soins : Modifications de la réglementation au 1er mai 2018!</w:t>
      </w:r>
    </w:p>
    <w:p w:rsidR="00FA5D76" w:rsidRDefault="00FA5D76" w:rsidP="00FA5D76">
      <w:pPr>
        <w:spacing w:line="360" w:lineRule="auto"/>
        <w:jc w:val="center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  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t>Communication de l’</w:t>
      </w:r>
      <w:proofErr w:type="spellStart"/>
      <w:r>
        <w:rPr>
          <w:rFonts w:eastAsia="Times New Roman"/>
        </w:rPr>
        <w:t>Inami</w:t>
      </w:r>
      <w:proofErr w:type="spellEnd"/>
    </w:p>
    <w:p w:rsidR="00FA5D76" w:rsidRDefault="00FA5D76" w:rsidP="00FA5D76">
      <w:pPr>
        <w:spacing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La réglementation des trajets de soins change à partir du 1er mai 2018 pour les prestations d’éducation au diabète, pour le remboursement du matériel d’autogestion et pour les honoraires forfaitaires des spécialistes (trajets de soins diabète de type 2 et insuffisance rénale chronique).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 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t>Changements concernant l’éducation au diabète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  <w:sz w:val="21"/>
          <w:szCs w:val="21"/>
        </w:rPr>
        <w:t>2 mesures disparaissent :</w:t>
      </w:r>
    </w:p>
    <w:p w:rsidR="00FA5D76" w:rsidRDefault="00FA5D76" w:rsidP="00FA5D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les 3 différents modules d’éducation de départ, de suivi et complémentaire</w:t>
      </w:r>
    </w:p>
    <w:p w:rsidR="00FA5D76" w:rsidRDefault="00FA5D76" w:rsidP="00FA5D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l'obligation de suivre de l'éducation, dans certaines situations critiques.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  <w:sz w:val="21"/>
          <w:szCs w:val="21"/>
        </w:rPr>
        <w:t>Série de 5 prestations par an, 1 seule série de 5 prestations supplémentaires :</w:t>
      </w:r>
    </w:p>
    <w:p w:rsidR="00FA5D76" w:rsidRDefault="00FA5D76" w:rsidP="00FA5D76">
      <w:pPr>
        <w:spacing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Chaque patient a droit à 5 prestations d’éducation au diabète par année civile.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Le patient reçoit au moins 1 de ces prestations à domicile.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Chaque  patient  a droit 1 seule fois à 5 prestations supplémentaires, à condition qu'au moins une prestation de la première série de 5 prestations soit dispensée à son domicile.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Ces 5 prestations supplémentaires peuvent être dispensées au cours de l'année civile de la première série de 5 prestations d'éducation, ou au cours de l'année civile suivante.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Ceci vaut pour chaque patient, qu’il ait reçu ou non dans le passé une éducation via la convention diabète, ou une éducation aux soins autonomes par des infirmiers relais.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lev"/>
          <w:rFonts w:eastAsia="Times New Roman"/>
          <w:b/>
          <w:bCs/>
          <w:sz w:val="21"/>
          <w:szCs w:val="21"/>
        </w:rPr>
        <w:t>Éducation au domicile, au cabinet ou en groupe</w:t>
      </w:r>
    </w:p>
    <w:p w:rsidR="00FA5D76" w:rsidRDefault="00FA5D76" w:rsidP="00FA5D76">
      <w:pPr>
        <w:spacing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L’éducation au diabète peut être dispensée au domicile du patient, au cabinet ou en groupe.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Une séance en groupe dure 2 heures, avec un maximum de 10 participants.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Pour ceci, 3 nouveaux codes de nomenclature voient le jour : éducation au cabinet, au domicile ou en groupe.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Dispositions transitoires jusque fin 2018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En 2018, le médecin généraliste peut encore prescrire des prestations d’éducation au diabète selon l’ancienne réglementation (éducation de départ, de suivi et complémentaire). Les prestataires peuvent dispenser ces prestations-là jusqu’au 31 décembre 2018.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br/>
        <w:t>Changements concernant le remboursement du matériel d’autogestion</w:t>
      </w:r>
    </w:p>
    <w:p w:rsidR="00FA5D76" w:rsidRDefault="00FA5D76" w:rsidP="00FA5D76">
      <w:pPr>
        <w:spacing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lastRenderedPageBreak/>
        <w:t xml:space="preserve">À partir du 1er mai 2018, les patients suivant un trajet de soins diabète de type 2 ont droit au remboursement du matériel d’autogestion, mais uniquement à condition qu’ils entament ou suivant déjà un traitement à l’insuline ou avec un </w:t>
      </w:r>
      <w:proofErr w:type="spellStart"/>
      <w:r>
        <w:rPr>
          <w:rFonts w:ascii="Helvetica" w:eastAsia="Times New Roman" w:hAnsi="Helvetica" w:cs="Helvetica"/>
          <w:color w:val="505050"/>
          <w:sz w:val="21"/>
          <w:szCs w:val="21"/>
        </w:rPr>
        <w:t>incrétino</w:t>
      </w:r>
      <w:proofErr w:type="spellEnd"/>
      <w:r>
        <w:rPr>
          <w:rFonts w:ascii="Helvetica" w:eastAsia="Times New Roman" w:hAnsi="Helvetica" w:cs="Helvetica"/>
          <w:color w:val="505050"/>
          <w:sz w:val="21"/>
          <w:szCs w:val="21"/>
        </w:rPr>
        <w:t>-mimétique.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 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t>Changements concernant les honoraires forfaitaires des spécialistes</w:t>
      </w:r>
    </w:p>
    <w:p w:rsidR="00FA5D76" w:rsidRDefault="00FA5D76" w:rsidP="00FA5D76">
      <w:pPr>
        <w:spacing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À partir du 1er mai 2018, la mutualité ne paie plus d’honoraire forfaitaire au médecin spécialiste lorsque :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son patient engagé dans un trajet de soins diabète de type 2 passe en convention diabète.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</w:r>
      <w:r>
        <w:rPr>
          <w:rStyle w:val="lev"/>
          <w:rFonts w:ascii="Helvetica" w:eastAsia="Times New Roman" w:hAnsi="Helvetica" w:cs="Helvetica"/>
          <w:color w:val="505050"/>
          <w:sz w:val="21"/>
          <w:szCs w:val="21"/>
        </w:rPr>
        <w:t>Exception :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 Le médecin spécialiste continue de percevoir un honoraire forfaitaire si son patient en trajet de soins diabète de type 2 passe temporairement dans le groupe C1 de la convention diabète.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son patient engagé dans un trajet de soins insuffisance rénale chronique passe en convention dialyse.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  <w:t xml:space="preserve">Pour plus d’informations, cliquez </w:t>
      </w:r>
      <w:hyperlink r:id="rId5" w:tgtFrame="_blank" w:history="1">
        <w:r>
          <w:rPr>
            <w:rStyle w:val="Lienhypertexte"/>
            <w:rFonts w:ascii="Helvetica" w:eastAsia="Times New Roman" w:hAnsi="Helvetica" w:cs="Helvetica"/>
            <w:color w:val="105B74"/>
            <w:sz w:val="21"/>
            <w:szCs w:val="21"/>
          </w:rPr>
          <w:t>ici.</w:t>
        </w:r>
      </w:hyperlink>
      <w:r>
        <w:rPr>
          <w:rFonts w:ascii="Helvetica" w:eastAsia="Times New Roman" w:hAnsi="Helvetica" w:cs="Helvetica"/>
          <w:color w:val="505050"/>
          <w:sz w:val="21"/>
          <w:szCs w:val="21"/>
        </w:rPr>
        <w:br/>
        <w:t> </w:t>
      </w:r>
    </w:p>
    <w:p w:rsidR="00FA5D76" w:rsidRDefault="00FA5D76" w:rsidP="00FA5D76">
      <w:pPr>
        <w:pStyle w:val="Titre2"/>
        <w:rPr>
          <w:rFonts w:eastAsia="Times New Roman"/>
        </w:rPr>
      </w:pPr>
      <w:r>
        <w:rPr>
          <w:rFonts w:eastAsia="Times New Roman"/>
        </w:rPr>
        <w:t>Informations complémentaires pour le remboursement des prestations d'éducation au diabète des patients</w:t>
      </w:r>
    </w:p>
    <w:p w:rsidR="008D7F39" w:rsidRDefault="00FA5D76" w:rsidP="00FA5D76"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En cliquant </w:t>
      </w:r>
      <w:hyperlink r:id="rId6" w:tgtFrame="_blank" w:history="1">
        <w:r>
          <w:rPr>
            <w:rStyle w:val="Lienhypertexte"/>
            <w:rFonts w:ascii="Helvetica" w:eastAsia="Times New Roman" w:hAnsi="Helvetica" w:cs="Helvetica"/>
            <w:color w:val="105B74"/>
            <w:sz w:val="21"/>
            <w:szCs w:val="21"/>
          </w:rPr>
          <w:t xml:space="preserve">ici, </w:t>
        </w:r>
      </w:hyperlink>
      <w:r>
        <w:rPr>
          <w:rFonts w:ascii="Helvetica" w:eastAsia="Times New Roman" w:hAnsi="Helvetica" w:cs="Helvetica"/>
          <w:color w:val="505050"/>
          <w:sz w:val="21"/>
          <w:szCs w:val="21"/>
        </w:rPr>
        <w:t>vous trouverez aussi toutes le informations utiles pour le remboursement de prestations d’éducation au diabète des  patients diabétiques intégrés dans un modèle de soins « Suivi d’un patient diabétique de type 2 » et qui répondent à certains critères spécifiques.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</w:r>
      <w:r>
        <w:rPr>
          <w:rFonts w:ascii="Helvetica" w:eastAsia="Times New Roman" w:hAnsi="Helvetica" w:cs="Helvetica"/>
          <w:color w:val="505050"/>
          <w:sz w:val="21"/>
          <w:szCs w:val="21"/>
        </w:rPr>
        <w:br/>
      </w:r>
      <w:bookmarkStart w:id="0" w:name="_GoBack"/>
      <w:bookmarkEnd w:id="0"/>
    </w:p>
    <w:sectPr w:rsidR="008D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284E"/>
    <w:multiLevelType w:val="multilevel"/>
    <w:tmpl w:val="F12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76"/>
    <w:rsid w:val="008D7F39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99CF-73B4-48CD-8670-C622A906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D76"/>
    <w:pPr>
      <w:spacing w:after="0" w:line="240" w:lineRule="auto"/>
    </w:pPr>
    <w:rPr>
      <w:rFonts w:ascii="Calibri" w:hAnsi="Calibri" w:cs="Calibri"/>
      <w:lang w:eastAsia="fr-BE"/>
    </w:rPr>
  </w:style>
  <w:style w:type="paragraph" w:styleId="Titre1">
    <w:name w:val="heading 1"/>
    <w:basedOn w:val="Normal"/>
    <w:link w:val="Titre1Car"/>
    <w:uiPriority w:val="9"/>
    <w:qFormat/>
    <w:rsid w:val="00FA5D76"/>
    <w:pPr>
      <w:spacing w:after="300" w:line="264" w:lineRule="auto"/>
      <w:outlineLvl w:val="0"/>
    </w:pPr>
    <w:rPr>
      <w:rFonts w:ascii="Helvetica" w:hAnsi="Helvetica" w:cs="Helvetica"/>
      <w:color w:val="CC0000"/>
      <w:kern w:val="36"/>
      <w:sz w:val="39"/>
      <w:szCs w:val="39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FA5D76"/>
    <w:pPr>
      <w:spacing w:after="180" w:line="264" w:lineRule="auto"/>
      <w:outlineLvl w:val="1"/>
    </w:pPr>
    <w:rPr>
      <w:rFonts w:ascii="Helvetica" w:hAnsi="Helvetica" w:cs="Helvetica"/>
      <w:b/>
      <w:bCs/>
      <w:color w:val="105B74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D76"/>
    <w:rPr>
      <w:rFonts w:ascii="Helvetica" w:hAnsi="Helvetica" w:cs="Helvetica"/>
      <w:color w:val="CC0000"/>
      <w:kern w:val="36"/>
      <w:sz w:val="39"/>
      <w:szCs w:val="39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FA5D76"/>
    <w:rPr>
      <w:rFonts w:ascii="Helvetica" w:hAnsi="Helvetica" w:cs="Helvetica"/>
      <w:b/>
      <w:bCs/>
      <w:color w:val="105B74"/>
      <w:sz w:val="30"/>
      <w:szCs w:val="30"/>
      <w:lang w:eastAsia="fr-BE"/>
    </w:rPr>
  </w:style>
  <w:style w:type="character" w:styleId="lev">
    <w:name w:val="Strong"/>
    <w:basedOn w:val="Policepardfaut"/>
    <w:uiPriority w:val="22"/>
    <w:qFormat/>
    <w:rsid w:val="00FA5D7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A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-gbo.us7.list-manage.com/track/click?u=7b04e742a1250234f4d6dd0d8&amp;id=b1dc4807bc&amp;e=44b4f4601b" TargetMode="External"/><Relationship Id="rId5" Type="http://schemas.openxmlformats.org/officeDocument/2006/relationships/hyperlink" Target="https://le-gbo.us7.list-manage.com/track/click?u=7b04e742a1250234f4d6dd0d8&amp;id=0c689b0bf2&amp;e=44b4f460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2018-05-29T11:41:00Z</dcterms:created>
  <dcterms:modified xsi:type="dcterms:W3CDTF">2018-05-29T11:42:00Z</dcterms:modified>
</cp:coreProperties>
</file>